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66B0" w14:textId="1EEC57EB" w:rsidR="00CB3975" w:rsidRPr="00101999" w:rsidRDefault="00101999">
      <w:pPr>
        <w:rPr>
          <w:b/>
          <w:bCs/>
          <w:sz w:val="28"/>
          <w:szCs w:val="28"/>
        </w:rPr>
      </w:pPr>
      <w:r w:rsidRPr="00101999">
        <w:rPr>
          <w:b/>
          <w:bCs/>
          <w:sz w:val="28"/>
          <w:szCs w:val="28"/>
        </w:rPr>
        <w:t xml:space="preserve">DR.PETER BEHNEN </w:t>
      </w:r>
    </w:p>
    <w:p w14:paraId="4E364CF9" w14:textId="77777777" w:rsidR="00101999" w:rsidRDefault="00101999">
      <w:pPr>
        <w:rPr>
          <w:b/>
          <w:bCs/>
          <w:sz w:val="28"/>
          <w:szCs w:val="28"/>
        </w:rPr>
      </w:pPr>
      <w:r w:rsidRPr="00101999">
        <w:rPr>
          <w:b/>
          <w:bCs/>
          <w:sz w:val="28"/>
          <w:szCs w:val="28"/>
        </w:rPr>
        <w:t>DIE LINKE FREIBURG</w:t>
      </w:r>
    </w:p>
    <w:p w14:paraId="68D76B60" w14:textId="77777777" w:rsidR="004861A8" w:rsidRDefault="004861A8">
      <w:pPr>
        <w:rPr>
          <w:b/>
          <w:bCs/>
          <w:sz w:val="28"/>
          <w:szCs w:val="28"/>
        </w:rPr>
      </w:pPr>
    </w:p>
    <w:p w14:paraId="3896FB13" w14:textId="569569FD" w:rsidR="00101999" w:rsidRDefault="00101999">
      <w:pPr>
        <w:rPr>
          <w:b/>
          <w:bCs/>
          <w:sz w:val="28"/>
          <w:szCs w:val="28"/>
        </w:rPr>
      </w:pPr>
      <w:r>
        <w:rPr>
          <w:b/>
          <w:bCs/>
          <w:sz w:val="28"/>
          <w:szCs w:val="28"/>
        </w:rPr>
        <w:t xml:space="preserve"> </w:t>
      </w:r>
      <w:r w:rsidRPr="00101999">
        <w:rPr>
          <w:b/>
          <w:bCs/>
          <w:sz w:val="28"/>
          <w:szCs w:val="28"/>
        </w:rPr>
        <w:t>ZUSAMME</w:t>
      </w:r>
      <w:r w:rsidR="004B1D11">
        <w:rPr>
          <w:b/>
          <w:bCs/>
          <w:sz w:val="28"/>
          <w:szCs w:val="28"/>
        </w:rPr>
        <w:t>N</w:t>
      </w:r>
      <w:r w:rsidRPr="00101999">
        <w:rPr>
          <w:b/>
          <w:bCs/>
          <w:sz w:val="28"/>
          <w:szCs w:val="28"/>
        </w:rPr>
        <w:t xml:space="preserve">FASSUNG DES AUFSATZES „DIE AKKUMULATION IM </w:t>
      </w:r>
      <w:r>
        <w:rPr>
          <w:b/>
          <w:bCs/>
          <w:sz w:val="28"/>
          <w:szCs w:val="28"/>
        </w:rPr>
        <w:t xml:space="preserve">             </w:t>
      </w:r>
      <w:r w:rsidR="004861A8">
        <w:rPr>
          <w:b/>
          <w:bCs/>
          <w:sz w:val="28"/>
          <w:szCs w:val="28"/>
        </w:rPr>
        <w:t xml:space="preserve"> </w:t>
      </w:r>
      <w:r w:rsidRPr="00101999">
        <w:rPr>
          <w:b/>
          <w:bCs/>
          <w:sz w:val="28"/>
          <w:szCs w:val="28"/>
        </w:rPr>
        <w:t>21.JAHRHUNDERT“ VON STEPHAN KRÜGER IN S</w:t>
      </w:r>
      <w:r w:rsidR="008F4882">
        <w:rPr>
          <w:b/>
          <w:bCs/>
          <w:sz w:val="28"/>
          <w:szCs w:val="28"/>
        </w:rPr>
        <w:t>IEBEN</w:t>
      </w:r>
      <w:r w:rsidRPr="00101999">
        <w:rPr>
          <w:b/>
          <w:bCs/>
          <w:sz w:val="28"/>
          <w:szCs w:val="28"/>
        </w:rPr>
        <w:t xml:space="preserve"> PUNKTEN</w:t>
      </w:r>
      <w:r w:rsidR="00F510DA">
        <w:rPr>
          <w:b/>
          <w:bCs/>
          <w:sz w:val="28"/>
          <w:szCs w:val="28"/>
        </w:rPr>
        <w:t xml:space="preserve"> (1)</w:t>
      </w:r>
    </w:p>
    <w:p w14:paraId="6950ED05" w14:textId="3419714C" w:rsidR="00101999" w:rsidRDefault="00101999">
      <w:pPr>
        <w:rPr>
          <w:b/>
          <w:bCs/>
          <w:sz w:val="28"/>
          <w:szCs w:val="28"/>
          <w:u w:val="single"/>
        </w:rPr>
      </w:pPr>
      <w:r>
        <w:rPr>
          <w:b/>
          <w:bCs/>
          <w:sz w:val="28"/>
          <w:szCs w:val="28"/>
        </w:rPr>
        <w:t xml:space="preserve"> </w:t>
      </w:r>
      <w:r w:rsidRPr="00101999">
        <w:rPr>
          <w:b/>
          <w:bCs/>
          <w:sz w:val="28"/>
          <w:szCs w:val="28"/>
          <w:u w:val="single"/>
        </w:rPr>
        <w:t xml:space="preserve">Punkt 1: </w:t>
      </w:r>
    </w:p>
    <w:p w14:paraId="4F1C3D43" w14:textId="599EF307" w:rsidR="00101999" w:rsidRDefault="00101999">
      <w:pPr>
        <w:rPr>
          <w:b/>
          <w:bCs/>
          <w:sz w:val="28"/>
          <w:szCs w:val="28"/>
        </w:rPr>
      </w:pPr>
      <w:r w:rsidRPr="00101999">
        <w:rPr>
          <w:b/>
          <w:bCs/>
          <w:sz w:val="28"/>
          <w:szCs w:val="28"/>
        </w:rPr>
        <w:t>Bei</w:t>
      </w:r>
      <w:r>
        <w:rPr>
          <w:b/>
          <w:bCs/>
          <w:sz w:val="28"/>
          <w:szCs w:val="28"/>
        </w:rPr>
        <w:t xml:space="preserve"> vielen Linken wird die Geschichte des </w:t>
      </w:r>
      <w:r w:rsidR="004B1D11">
        <w:rPr>
          <w:b/>
          <w:bCs/>
          <w:sz w:val="28"/>
          <w:szCs w:val="28"/>
        </w:rPr>
        <w:t xml:space="preserve">Kapitalismus immer noch </w:t>
      </w:r>
      <w:r w:rsidR="006463C1">
        <w:rPr>
          <w:b/>
          <w:bCs/>
          <w:sz w:val="28"/>
          <w:szCs w:val="28"/>
        </w:rPr>
        <w:t xml:space="preserve">in die Stadien der freien Konkurrenz, des monopolistischen Kapitalismus und des staatsmonopolistischen Kapitalismus unterteilt. Stephan Krüger vertritt die These, dass diese Sichtweise </w:t>
      </w:r>
      <w:r w:rsidR="000A4943">
        <w:rPr>
          <w:b/>
          <w:bCs/>
          <w:sz w:val="28"/>
          <w:szCs w:val="28"/>
        </w:rPr>
        <w:t xml:space="preserve">im Rahmen der </w:t>
      </w:r>
      <w:proofErr w:type="spellStart"/>
      <w:r w:rsidR="000A4943">
        <w:rPr>
          <w:b/>
          <w:bCs/>
          <w:sz w:val="28"/>
          <w:szCs w:val="28"/>
        </w:rPr>
        <w:t>Marxschen</w:t>
      </w:r>
      <w:proofErr w:type="spellEnd"/>
      <w:r w:rsidR="000A4943">
        <w:rPr>
          <w:b/>
          <w:bCs/>
          <w:sz w:val="28"/>
          <w:szCs w:val="28"/>
        </w:rPr>
        <w:t xml:space="preserve"> Theorie als oberflächlich zu bezeichnen sei. Es handele sich in allen Fällen </w:t>
      </w:r>
      <w:r w:rsidR="00E030BD">
        <w:rPr>
          <w:b/>
          <w:bCs/>
          <w:sz w:val="28"/>
          <w:szCs w:val="28"/>
        </w:rPr>
        <w:t xml:space="preserve">um Ausprägungen der kapitalistischen Konkurrenz. Das heißt, </w:t>
      </w:r>
      <w:r w:rsidR="008A0CD5">
        <w:rPr>
          <w:b/>
          <w:bCs/>
          <w:sz w:val="28"/>
          <w:szCs w:val="28"/>
        </w:rPr>
        <w:t>die allgemeinen Gesetzmäßigkeiten des Kapitalismus behielten weiter Gültigkeit, was bedeute, dass die individuellen Profitraten der Einzelkapitale zu einer durchschnittlichen Profitrate des nationalen Kapitals durch die Konkurrenz ausgeglichen würden</w:t>
      </w:r>
      <w:r w:rsidR="00430A19">
        <w:rPr>
          <w:b/>
          <w:bCs/>
          <w:sz w:val="28"/>
          <w:szCs w:val="28"/>
        </w:rPr>
        <w:t xml:space="preserve"> (siehe Anmerkung unten).</w:t>
      </w:r>
      <w:r w:rsidR="008A0CD5">
        <w:rPr>
          <w:b/>
          <w:bCs/>
          <w:sz w:val="28"/>
          <w:szCs w:val="28"/>
        </w:rPr>
        <w:t xml:space="preserve"> Das sei eine Tendenz, die sich im Laufe mehrerer Konjunkturzyklen herausbilde. Das hat Krüger empirisch belegt, nicht zu belegen sei allerdings eine dauerhafte Aufspaltung in monopolistische Profitraten großer Kapitale und geringere Profitraten kleiner Kapitale. Im Gegenteil, belegen ließe sich zum Beispiel für die Bundesrepublik</w:t>
      </w:r>
      <w:r w:rsidR="00C07A1D">
        <w:rPr>
          <w:b/>
          <w:bCs/>
          <w:sz w:val="28"/>
          <w:szCs w:val="28"/>
        </w:rPr>
        <w:t xml:space="preserve">, </w:t>
      </w:r>
      <w:r w:rsidR="008A0CD5">
        <w:rPr>
          <w:b/>
          <w:bCs/>
          <w:sz w:val="28"/>
          <w:szCs w:val="28"/>
        </w:rPr>
        <w:t>das</w:t>
      </w:r>
      <w:r w:rsidR="00C07A1D">
        <w:rPr>
          <w:b/>
          <w:bCs/>
          <w:sz w:val="28"/>
          <w:szCs w:val="28"/>
        </w:rPr>
        <w:t>s</w:t>
      </w:r>
      <w:r w:rsidR="008A0CD5">
        <w:rPr>
          <w:b/>
          <w:bCs/>
          <w:sz w:val="28"/>
          <w:szCs w:val="28"/>
        </w:rPr>
        <w:t xml:space="preserve"> große Kapitalgesellschaften</w:t>
      </w:r>
      <w:r w:rsidR="00C07A1D">
        <w:rPr>
          <w:b/>
          <w:bCs/>
          <w:sz w:val="28"/>
          <w:szCs w:val="28"/>
        </w:rPr>
        <w:t xml:space="preserve"> (u.a. Aktiengesellschaften) geringere Profitraten aufwiesen als Personengesellschaften (u.a. KGs oder OHGs) und auch bei Einzelkaufleuten. Das sei auch verständlich, weil zusätzliche Profite bei großen Kapitalen auf nationalen und internationalen Märkten immer wieder wegen ihrer erhöhten Transparenz wegkonkurriert würden.</w:t>
      </w:r>
    </w:p>
    <w:p w14:paraId="5A10BAE2" w14:textId="705A50CB" w:rsidR="00C07A1D" w:rsidRDefault="000D6CA5">
      <w:pPr>
        <w:rPr>
          <w:b/>
          <w:bCs/>
          <w:sz w:val="28"/>
          <w:szCs w:val="28"/>
        </w:rPr>
      </w:pPr>
      <w:r>
        <w:rPr>
          <w:b/>
          <w:bCs/>
          <w:sz w:val="28"/>
          <w:szCs w:val="28"/>
        </w:rPr>
        <w:t>(</w:t>
      </w:r>
      <w:r w:rsidR="00430A19">
        <w:rPr>
          <w:b/>
          <w:bCs/>
          <w:sz w:val="28"/>
          <w:szCs w:val="28"/>
        </w:rPr>
        <w:t>Anmerkung: Profitrate</w:t>
      </w:r>
      <w:r w:rsidR="00C07A1D">
        <w:rPr>
          <w:b/>
          <w:bCs/>
          <w:sz w:val="28"/>
          <w:szCs w:val="28"/>
        </w:rPr>
        <w:t xml:space="preserve">= Mehrwert / </w:t>
      </w:r>
      <w:r>
        <w:rPr>
          <w:b/>
          <w:bCs/>
          <w:sz w:val="28"/>
          <w:szCs w:val="28"/>
        </w:rPr>
        <w:t>Wert der eingesetzten Produktionsmittel + Wert der eingesetzten Arbeitskräfte. Den Mehrwert produzieren allein die Arbeitskräfte P.B.)</w:t>
      </w:r>
    </w:p>
    <w:p w14:paraId="720172C9" w14:textId="6FC10133" w:rsidR="00ED07C5" w:rsidRDefault="00ED07C5">
      <w:pPr>
        <w:rPr>
          <w:sz w:val="28"/>
          <w:szCs w:val="28"/>
          <w:u w:val="single"/>
        </w:rPr>
      </w:pPr>
      <w:r w:rsidRPr="00ED07C5">
        <w:rPr>
          <w:b/>
          <w:bCs/>
          <w:sz w:val="28"/>
          <w:szCs w:val="28"/>
          <w:u w:val="single"/>
        </w:rPr>
        <w:t>Punkt 2</w:t>
      </w:r>
      <w:r w:rsidRPr="00ED07C5">
        <w:rPr>
          <w:sz w:val="28"/>
          <w:szCs w:val="28"/>
          <w:u w:val="single"/>
        </w:rPr>
        <w:t>:</w:t>
      </w:r>
    </w:p>
    <w:p w14:paraId="5A57F66A" w14:textId="129718BC" w:rsidR="00677920" w:rsidRDefault="00677920">
      <w:pPr>
        <w:rPr>
          <w:b/>
          <w:bCs/>
          <w:sz w:val="28"/>
          <w:szCs w:val="28"/>
        </w:rPr>
      </w:pPr>
      <w:r w:rsidRPr="00677920">
        <w:rPr>
          <w:b/>
          <w:bCs/>
          <w:sz w:val="28"/>
          <w:szCs w:val="28"/>
        </w:rPr>
        <w:t>Stephan Krüger</w:t>
      </w:r>
      <w:r>
        <w:rPr>
          <w:b/>
          <w:bCs/>
          <w:sz w:val="28"/>
          <w:szCs w:val="28"/>
        </w:rPr>
        <w:t xml:space="preserve"> periodisiert den Kapitalismus im Sinne von Marx durch verschiedene Betriebsweisen des Kapitalismus. Er unterscheidet zwischen der Großen Industrie und dem Fordismus. Den Übergang in einen digitalen Kapitalismus heute sieht er blockiert. Bei einer Betriebsweise ist gemeint, dass eine Phase des Kapitalismus sich immer durch eine zugrundeliegende technische Rationalisierung, eine entsprechende staatliche Organisation und ein Kräfteverhältnis von Klassen mit entsprechenden Bewusstseinsformen kennzeichnen lässt.</w:t>
      </w:r>
      <w:r w:rsidR="001E3FEE">
        <w:rPr>
          <w:b/>
          <w:bCs/>
          <w:sz w:val="28"/>
          <w:szCs w:val="28"/>
        </w:rPr>
        <w:t xml:space="preserve"> Verbunden ist damit eine anfangs beschleunigte Akkumulation des Ka</w:t>
      </w:r>
      <w:r w:rsidR="005C367D">
        <w:rPr>
          <w:b/>
          <w:bCs/>
          <w:sz w:val="28"/>
          <w:szCs w:val="28"/>
        </w:rPr>
        <w:t>p</w:t>
      </w:r>
      <w:r w:rsidR="001E3FEE">
        <w:rPr>
          <w:b/>
          <w:bCs/>
          <w:sz w:val="28"/>
          <w:szCs w:val="28"/>
        </w:rPr>
        <w:t>itals.</w:t>
      </w:r>
      <w:r w:rsidR="005C367D">
        <w:rPr>
          <w:b/>
          <w:bCs/>
          <w:sz w:val="28"/>
          <w:szCs w:val="28"/>
        </w:rPr>
        <w:t xml:space="preserve"> Die Große Industrie im 19.Jahrhundert überwindet die Schranken des Handwerks und ersetzt menschlichen Handarbeit durch das Maschinensystem. Der wichtigste Bestandteil des Maschinensystems ist die Werkzeugmaschine mit einem bestimmten Antriebssystem (z.B</w:t>
      </w:r>
      <w:r w:rsidR="004A4CDF">
        <w:rPr>
          <w:b/>
          <w:bCs/>
          <w:sz w:val="28"/>
          <w:szCs w:val="28"/>
        </w:rPr>
        <w:t>.</w:t>
      </w:r>
      <w:r w:rsidR="005C367D">
        <w:rPr>
          <w:b/>
          <w:bCs/>
          <w:sz w:val="28"/>
          <w:szCs w:val="28"/>
        </w:rPr>
        <w:t xml:space="preserve"> einer Dampfmaschine</w:t>
      </w:r>
      <w:r w:rsidR="00430A19">
        <w:rPr>
          <w:b/>
          <w:bCs/>
          <w:sz w:val="28"/>
          <w:szCs w:val="28"/>
        </w:rPr>
        <w:t xml:space="preserve"> und später </w:t>
      </w:r>
      <w:r w:rsidR="00EB3C9E">
        <w:rPr>
          <w:b/>
          <w:bCs/>
          <w:sz w:val="28"/>
          <w:szCs w:val="28"/>
        </w:rPr>
        <w:t>elektrischer Antrieb</w:t>
      </w:r>
      <w:r w:rsidR="005C367D">
        <w:rPr>
          <w:b/>
          <w:bCs/>
          <w:sz w:val="28"/>
          <w:szCs w:val="28"/>
        </w:rPr>
        <w:t xml:space="preserve">). Das Maschinensystem erforderte eine entsprechende Infrastruktur mit neuen Kommunikations- und Transportmitteln. Außerdem erzwang die Arbeiterbewegung </w:t>
      </w:r>
      <w:r w:rsidR="00AA2C6C">
        <w:rPr>
          <w:b/>
          <w:bCs/>
          <w:sz w:val="28"/>
          <w:szCs w:val="28"/>
        </w:rPr>
        <w:t>der Großen Industrie staatliche Schutzgesetze, eine Begrenzung des Arbeitstages (10 Std.) und ein Verbot der Kinderarbeit. Der Pionier dieser Betriebsweise war Großbritannien im 19.Jahrhundert. Unter der Vorherrschaft Großbritanniens entstanden koloniale Abhängigkeiten und ein Goldstandard</w:t>
      </w:r>
      <w:r w:rsidR="00EB3C9E">
        <w:rPr>
          <w:b/>
          <w:bCs/>
          <w:sz w:val="28"/>
          <w:szCs w:val="28"/>
        </w:rPr>
        <w:t xml:space="preserve"> als Währungssystem</w:t>
      </w:r>
      <w:r w:rsidR="00AA2C6C">
        <w:rPr>
          <w:b/>
          <w:bCs/>
          <w:sz w:val="28"/>
          <w:szCs w:val="28"/>
        </w:rPr>
        <w:t xml:space="preserve"> mit der Londoner City als internationalem Finanzzentrum.</w:t>
      </w:r>
    </w:p>
    <w:p w14:paraId="6273213C" w14:textId="2F6B75D4" w:rsidR="00AA2C6C" w:rsidRDefault="00AA2C6C">
      <w:pPr>
        <w:rPr>
          <w:b/>
          <w:bCs/>
          <w:sz w:val="28"/>
          <w:szCs w:val="28"/>
          <w:u w:val="single"/>
        </w:rPr>
      </w:pPr>
      <w:r w:rsidRPr="00AA2C6C">
        <w:rPr>
          <w:b/>
          <w:bCs/>
          <w:sz w:val="28"/>
          <w:szCs w:val="28"/>
          <w:u w:val="single"/>
        </w:rPr>
        <w:t>Punkt 3:</w:t>
      </w:r>
    </w:p>
    <w:p w14:paraId="48942121" w14:textId="6E88B0CB" w:rsidR="00AA2C6C" w:rsidRDefault="00AA2C6C">
      <w:pPr>
        <w:rPr>
          <w:b/>
          <w:bCs/>
          <w:sz w:val="28"/>
          <w:szCs w:val="28"/>
        </w:rPr>
      </w:pPr>
      <w:r w:rsidRPr="00AA2C6C">
        <w:rPr>
          <w:b/>
          <w:bCs/>
          <w:sz w:val="28"/>
          <w:szCs w:val="28"/>
        </w:rPr>
        <w:t>Eine</w:t>
      </w:r>
      <w:r>
        <w:rPr>
          <w:b/>
          <w:bCs/>
          <w:sz w:val="28"/>
          <w:szCs w:val="28"/>
        </w:rPr>
        <w:t xml:space="preserve"> gesellschaftliche Betriebsweise mit einer </w:t>
      </w:r>
      <w:r w:rsidR="00EC39A1">
        <w:rPr>
          <w:b/>
          <w:bCs/>
          <w:sz w:val="28"/>
          <w:szCs w:val="28"/>
        </w:rPr>
        <w:t>herausgehobenen Funktion eines Nationalkapitals weist selbstauflösende Elemente auf. Dafür sorgt die ungleiche Entwicklung der nationalen Akkumulationsprozesse. Das galt auch für Großbritannien. Krüger stellt fest, dass Großbritannien bereits vor dem 1.Weltkrieg seine ökonomische Vorherrschaft an das Deutsche Reich und die USA verloren ha</w:t>
      </w:r>
      <w:r w:rsidR="004A4CDF">
        <w:rPr>
          <w:b/>
          <w:bCs/>
          <w:sz w:val="28"/>
          <w:szCs w:val="28"/>
        </w:rPr>
        <w:t>b</w:t>
      </w:r>
      <w:r w:rsidR="00EC39A1">
        <w:rPr>
          <w:b/>
          <w:bCs/>
          <w:sz w:val="28"/>
          <w:szCs w:val="28"/>
        </w:rPr>
        <w:t>e. In der Zwischenkriegszeit im 20.Jahrhundert wurden die USA Vorreiter einer neuen Rationalisierung und der unumschränkte Weltgläubiger, der Beginn der Betriebsweise des Fordismus. Diese neue Betriebsweise setz</w:t>
      </w:r>
      <w:r w:rsidR="004A4CDF">
        <w:rPr>
          <w:b/>
          <w:bCs/>
          <w:sz w:val="28"/>
          <w:szCs w:val="28"/>
        </w:rPr>
        <w:t>e</w:t>
      </w:r>
      <w:r w:rsidR="00EC39A1">
        <w:rPr>
          <w:b/>
          <w:bCs/>
          <w:sz w:val="28"/>
          <w:szCs w:val="28"/>
        </w:rPr>
        <w:t xml:space="preserve"> auf die Fabrikstruktur der Großen Industrie auf und führte zu einer weiteren Zergliederung der innerbetrieblichen Arbeitsteilung, zur Fließbandarbeit </w:t>
      </w:r>
      <w:r w:rsidR="00B14C9A">
        <w:rPr>
          <w:b/>
          <w:bCs/>
          <w:sz w:val="28"/>
          <w:szCs w:val="28"/>
        </w:rPr>
        <w:t xml:space="preserve">und zu großen Mischkonzernen (Konzerne mit mehreren Standbeinen). Es entwickelte sich aber auch eine machtvolle Gewerkschaftsbewegung, mit Arbeiterparteien, Arbeitszeitverkürzungen, einem Ausbau staatlicher Umverteilung und einem Sozialstaat, Die USA standen an der Spitze eines neuen Währungssystems, das 1944 entwickelt wurde, Das sogenannte </w:t>
      </w:r>
      <w:proofErr w:type="spellStart"/>
      <w:r w:rsidR="00B14C9A">
        <w:rPr>
          <w:b/>
          <w:bCs/>
          <w:sz w:val="28"/>
          <w:szCs w:val="28"/>
        </w:rPr>
        <w:t>Bretton</w:t>
      </w:r>
      <w:proofErr w:type="spellEnd"/>
      <w:r w:rsidR="00B14C9A">
        <w:rPr>
          <w:b/>
          <w:bCs/>
          <w:sz w:val="28"/>
          <w:szCs w:val="28"/>
        </w:rPr>
        <w:t>-Woods-System zeichnete sich durch Festlegung von Wechselkursen, Zinssätzen und Kapitalverkehrskontrollen aus. Der Dollar stand im Mittelpunkt des Systems, er war als einzige Währung für die Nationalbanken in Gold umtauschbar. Außerdem erhielt</w:t>
      </w:r>
      <w:r w:rsidR="00035EEC">
        <w:rPr>
          <w:b/>
          <w:bCs/>
          <w:sz w:val="28"/>
          <w:szCs w:val="28"/>
        </w:rPr>
        <w:t>en</w:t>
      </w:r>
      <w:r w:rsidR="00B14C9A">
        <w:rPr>
          <w:b/>
          <w:bCs/>
          <w:sz w:val="28"/>
          <w:szCs w:val="28"/>
        </w:rPr>
        <w:t xml:space="preserve"> die Wirtschafts- und Sozialpolit</w:t>
      </w:r>
      <w:r w:rsidR="00035EEC">
        <w:rPr>
          <w:b/>
          <w:bCs/>
          <w:sz w:val="28"/>
          <w:szCs w:val="28"/>
        </w:rPr>
        <w:t>i</w:t>
      </w:r>
      <w:r w:rsidR="00B14C9A">
        <w:rPr>
          <w:b/>
          <w:bCs/>
          <w:sz w:val="28"/>
          <w:szCs w:val="28"/>
        </w:rPr>
        <w:t xml:space="preserve">k </w:t>
      </w:r>
      <w:r w:rsidR="00035EEC">
        <w:rPr>
          <w:b/>
          <w:bCs/>
          <w:sz w:val="28"/>
          <w:szCs w:val="28"/>
        </w:rPr>
        <w:t>in dieser Betriebsweise einen besonderen Stellenwert.</w:t>
      </w:r>
    </w:p>
    <w:p w14:paraId="3AA25A0D" w14:textId="77777777" w:rsidR="00CE4EA4" w:rsidRDefault="00CE4EA4">
      <w:pPr>
        <w:rPr>
          <w:b/>
          <w:bCs/>
          <w:sz w:val="28"/>
          <w:szCs w:val="28"/>
          <w:u w:val="single"/>
        </w:rPr>
      </w:pPr>
    </w:p>
    <w:p w14:paraId="2ED1BF2F" w14:textId="77777777" w:rsidR="00CE4EA4" w:rsidRDefault="00CE4EA4">
      <w:pPr>
        <w:rPr>
          <w:b/>
          <w:bCs/>
          <w:sz w:val="28"/>
          <w:szCs w:val="28"/>
          <w:u w:val="single"/>
        </w:rPr>
      </w:pPr>
    </w:p>
    <w:p w14:paraId="612258C8" w14:textId="016585FC" w:rsidR="00035EEC" w:rsidRDefault="00035EEC">
      <w:pPr>
        <w:rPr>
          <w:b/>
          <w:bCs/>
          <w:sz w:val="28"/>
          <w:szCs w:val="28"/>
          <w:u w:val="single"/>
        </w:rPr>
      </w:pPr>
      <w:r w:rsidRPr="00035EEC">
        <w:rPr>
          <w:b/>
          <w:bCs/>
          <w:sz w:val="28"/>
          <w:szCs w:val="28"/>
          <w:u w:val="single"/>
        </w:rPr>
        <w:t>Punkt 4:</w:t>
      </w:r>
    </w:p>
    <w:p w14:paraId="1B07974E" w14:textId="481098DF" w:rsidR="00F82500" w:rsidRDefault="00035EEC">
      <w:pPr>
        <w:rPr>
          <w:b/>
          <w:bCs/>
          <w:sz w:val="28"/>
          <w:szCs w:val="28"/>
        </w:rPr>
      </w:pPr>
      <w:r w:rsidRPr="00035EEC">
        <w:rPr>
          <w:b/>
          <w:bCs/>
          <w:sz w:val="28"/>
          <w:szCs w:val="28"/>
        </w:rPr>
        <w:t>Nach Krüger</w:t>
      </w:r>
      <w:r w:rsidR="00CE4EA4">
        <w:rPr>
          <w:b/>
          <w:bCs/>
          <w:sz w:val="28"/>
          <w:szCs w:val="28"/>
        </w:rPr>
        <w:t xml:space="preserve"> wurde ab der Mitte der 70er Jahre das beschleunigte Wachstum des Kapitals, das die Stabilität des Fordismus untermauert ha</w:t>
      </w:r>
      <w:r w:rsidR="004A4CDF">
        <w:rPr>
          <w:b/>
          <w:bCs/>
          <w:sz w:val="28"/>
          <w:szCs w:val="28"/>
        </w:rPr>
        <w:t>b</w:t>
      </w:r>
      <w:r w:rsidR="00CE4EA4">
        <w:rPr>
          <w:b/>
          <w:bCs/>
          <w:sz w:val="28"/>
          <w:szCs w:val="28"/>
        </w:rPr>
        <w:t xml:space="preserve">e, durch eine sogenannte strukturelle Überakkumulation abgelöst. (Siehe genauer Punkt 5 und 6.) Krüger geht im Sinne von Marx </w:t>
      </w:r>
      <w:r w:rsidR="006310CF">
        <w:rPr>
          <w:b/>
          <w:bCs/>
          <w:sz w:val="28"/>
          <w:szCs w:val="28"/>
        </w:rPr>
        <w:t xml:space="preserve">davon aus, </w:t>
      </w:r>
      <w:r w:rsidR="00CC6FDD">
        <w:rPr>
          <w:b/>
          <w:bCs/>
          <w:sz w:val="28"/>
          <w:szCs w:val="28"/>
        </w:rPr>
        <w:t xml:space="preserve">dass die durchschnittliche Profitrate des Kapitals auch in der Zeit des Fordismus tendenziell fiel, aber </w:t>
      </w:r>
      <w:r w:rsidR="00107099">
        <w:rPr>
          <w:b/>
          <w:bCs/>
          <w:sz w:val="28"/>
          <w:szCs w:val="28"/>
        </w:rPr>
        <w:t xml:space="preserve">wegen eines schnelleren Wachstums der Profitmasse kompensiert wurde. Diese Konstellation fand nach Krüger in der Mitte der 70er Jahre ihr Ende. </w:t>
      </w:r>
      <w:r w:rsidR="00280BBC">
        <w:rPr>
          <w:b/>
          <w:bCs/>
          <w:sz w:val="28"/>
          <w:szCs w:val="28"/>
        </w:rPr>
        <w:t xml:space="preserve">Der Fordismus als Betriebsweise ging deshalb in Etappen zu Ende, weil die Überakkumulation des Kapitals, die bisher am Ende eines Konjunkturzyklus abgebaut wurde, sich nun auch über mehrere Konjunkturzyklen hielt, was viele Kapitalisten veranlasste, ihr Kapital auf die Finanzmärkte umzuleiten. Im industriellen Bereich blieb ein </w:t>
      </w:r>
      <w:proofErr w:type="spellStart"/>
      <w:r w:rsidR="00280BBC">
        <w:rPr>
          <w:b/>
          <w:bCs/>
          <w:sz w:val="28"/>
          <w:szCs w:val="28"/>
        </w:rPr>
        <w:t>stagnativer</w:t>
      </w:r>
      <w:proofErr w:type="spellEnd"/>
      <w:r w:rsidR="00280BBC">
        <w:rPr>
          <w:b/>
          <w:bCs/>
          <w:sz w:val="28"/>
          <w:szCs w:val="28"/>
        </w:rPr>
        <w:t xml:space="preserve"> Grundton bei gleichzeitiger Inflationierung der Warenpreise in den 70er Jahren (Stagflation). </w:t>
      </w:r>
      <w:r w:rsidR="00F82500">
        <w:rPr>
          <w:b/>
          <w:bCs/>
          <w:sz w:val="28"/>
          <w:szCs w:val="28"/>
        </w:rPr>
        <w:t>Zu dieser neuen Konstellation mehr in den folgenden Punkten.</w:t>
      </w:r>
    </w:p>
    <w:p w14:paraId="437F53D8" w14:textId="776BF3AC" w:rsidR="00035EEC" w:rsidRDefault="00F82500">
      <w:pPr>
        <w:rPr>
          <w:b/>
          <w:bCs/>
          <w:sz w:val="28"/>
          <w:szCs w:val="28"/>
          <w:u w:val="single"/>
        </w:rPr>
      </w:pPr>
      <w:r w:rsidRPr="00F82500">
        <w:rPr>
          <w:b/>
          <w:bCs/>
          <w:sz w:val="28"/>
          <w:szCs w:val="28"/>
          <w:u w:val="single"/>
        </w:rPr>
        <w:t>Punkt 5:</w:t>
      </w:r>
      <w:r w:rsidR="00280BBC" w:rsidRPr="00F82500">
        <w:rPr>
          <w:b/>
          <w:bCs/>
          <w:sz w:val="28"/>
          <w:szCs w:val="28"/>
          <w:u w:val="single"/>
        </w:rPr>
        <w:t xml:space="preserve"> </w:t>
      </w:r>
    </w:p>
    <w:p w14:paraId="036FF7E3" w14:textId="4F0BF2E4" w:rsidR="00F82500" w:rsidRDefault="00F82500">
      <w:pPr>
        <w:rPr>
          <w:b/>
          <w:bCs/>
          <w:sz w:val="28"/>
          <w:szCs w:val="28"/>
        </w:rPr>
      </w:pPr>
      <w:r w:rsidRPr="00F82500">
        <w:rPr>
          <w:b/>
          <w:bCs/>
          <w:sz w:val="28"/>
          <w:szCs w:val="28"/>
        </w:rPr>
        <w:t>Kr</w:t>
      </w:r>
      <w:r>
        <w:rPr>
          <w:b/>
          <w:bCs/>
          <w:sz w:val="28"/>
          <w:szCs w:val="28"/>
        </w:rPr>
        <w:t>üger</w:t>
      </w:r>
      <w:r w:rsidR="00D519DD">
        <w:rPr>
          <w:b/>
          <w:bCs/>
          <w:sz w:val="28"/>
          <w:szCs w:val="28"/>
        </w:rPr>
        <w:t xml:space="preserve"> </w:t>
      </w:r>
      <w:r w:rsidR="00C3368E">
        <w:rPr>
          <w:b/>
          <w:bCs/>
          <w:sz w:val="28"/>
          <w:szCs w:val="28"/>
        </w:rPr>
        <w:t xml:space="preserve">begründet den Übergang von dem beschleunigten Wachstum des Kapitals (beschleunigte Akkumulation) in die strukturelle Überakkumulation des Kapitals in den 70er Jahren. Es sei nach Marx auszugehen vom Gesetz des tendenziellen Falls der Profitrate, das Marx als das wichtigste Gesetz der modernen kapitalistischen Gesellschaft bezeichnet habe. Da sei allerdings nur richtig zu verstehen, </w:t>
      </w:r>
      <w:r w:rsidR="00E67C11">
        <w:rPr>
          <w:b/>
          <w:bCs/>
          <w:sz w:val="28"/>
          <w:szCs w:val="28"/>
        </w:rPr>
        <w:t>wenn die Art und Weise der Steigerung der Arbeitsproduktivität verstanden sei.</w:t>
      </w:r>
      <w:r w:rsidR="00AA0613">
        <w:rPr>
          <w:b/>
          <w:bCs/>
          <w:sz w:val="28"/>
          <w:szCs w:val="28"/>
        </w:rPr>
        <w:t xml:space="preserve"> Die Steigerung der Produktivkräfte gesellschaftlicher Arbeit bedeute, dass ein bestimmtes Quantum an Arbeit im Verhältnis zu dem Wachstum der eingesetzten Produktionsmittel langsamer wachse. Wertmäßig bedeute das, dass das Verhältnis des produzierten Mehrwerts zum eingesetzten Kapital sinke.</w:t>
      </w:r>
      <w:r w:rsidR="00071DC4">
        <w:rPr>
          <w:b/>
          <w:bCs/>
          <w:sz w:val="28"/>
          <w:szCs w:val="28"/>
        </w:rPr>
        <w:t xml:space="preserve"> Das Verhältnis m/</w:t>
      </w:r>
      <w:proofErr w:type="spellStart"/>
      <w:r w:rsidR="00071DC4">
        <w:rPr>
          <w:b/>
          <w:bCs/>
          <w:sz w:val="28"/>
          <w:szCs w:val="28"/>
        </w:rPr>
        <w:t>c+v</w:t>
      </w:r>
      <w:proofErr w:type="spellEnd"/>
      <w:r w:rsidR="00071DC4">
        <w:rPr>
          <w:b/>
          <w:bCs/>
          <w:sz w:val="28"/>
          <w:szCs w:val="28"/>
        </w:rPr>
        <w:t>, die Profitrate also, habe sinkende Tendenz. Dabei steht m</w:t>
      </w:r>
      <w:r w:rsidR="009A67D0">
        <w:rPr>
          <w:b/>
          <w:bCs/>
          <w:sz w:val="28"/>
          <w:szCs w:val="28"/>
        </w:rPr>
        <w:t xml:space="preserve"> für</w:t>
      </w:r>
      <w:r w:rsidR="00071DC4">
        <w:rPr>
          <w:b/>
          <w:bCs/>
          <w:sz w:val="28"/>
          <w:szCs w:val="28"/>
        </w:rPr>
        <w:t xml:space="preserve"> </w:t>
      </w:r>
      <w:r w:rsidR="009A67D0">
        <w:rPr>
          <w:b/>
          <w:bCs/>
          <w:sz w:val="28"/>
          <w:szCs w:val="28"/>
        </w:rPr>
        <w:t xml:space="preserve">den durch die Arbeit produzierten Mehrwert, c für den Wert der eingesetzten Produktionsmittel und v für den Wert der eingesetzten Arbeitskraft. </w:t>
      </w:r>
      <w:r w:rsidR="00C949FB">
        <w:rPr>
          <w:b/>
          <w:bCs/>
          <w:sz w:val="28"/>
          <w:szCs w:val="28"/>
        </w:rPr>
        <w:t xml:space="preserve">Wenn also nur v den Mehrwert produziert und langsamer als c wächst, muss auch die Profitrate tendenziell fallen. Dieses Gesetz hat aber nach Marx eine doppelte Bedeutung. Die Profitrate fällt zwar tendenziell und die ökonomische Entwicklung bleibt trotzdem in </w:t>
      </w:r>
      <w:r w:rsidR="005B1538">
        <w:rPr>
          <w:b/>
          <w:bCs/>
          <w:sz w:val="28"/>
          <w:szCs w:val="28"/>
        </w:rPr>
        <w:t>ruhigem Fahrwasser, wenn</w:t>
      </w:r>
      <w:r w:rsidR="004F3A61">
        <w:rPr>
          <w:b/>
          <w:bCs/>
          <w:sz w:val="28"/>
          <w:szCs w:val="28"/>
        </w:rPr>
        <w:t xml:space="preserve"> gleichzeitig die Zahl der zusätzlichen Arbeitskräfte bzw. Arbeitsstunden für eine steigende Profitmasse sorgt. Dadurch ist eine erweiterte Kapitalakkumulation reibungslos möglich. Allerdings handelt es sich nicht um einen Prozess, der ewig andauert. Es kommt der Punkt, dass die allgemeine Profitrate so weit gesunken ist, dass die Neuanlage von zusätzlichem Kapital im industriellen Bereich keinen zunehmenden Profit mehr verspricht. Das ist der Punkt, der mit struktureller Überakkumulation bezeichnet wird.</w:t>
      </w:r>
    </w:p>
    <w:p w14:paraId="1871E6F4" w14:textId="3E6B1AAF" w:rsidR="004F3A61" w:rsidRPr="004F3A61" w:rsidRDefault="004F3A61">
      <w:pPr>
        <w:rPr>
          <w:b/>
          <w:bCs/>
          <w:sz w:val="28"/>
          <w:szCs w:val="28"/>
          <w:u w:val="single"/>
        </w:rPr>
      </w:pPr>
      <w:r w:rsidRPr="004F3A61">
        <w:rPr>
          <w:b/>
          <w:bCs/>
          <w:sz w:val="28"/>
          <w:szCs w:val="28"/>
          <w:u w:val="single"/>
        </w:rPr>
        <w:t>Punkt 6:</w:t>
      </w:r>
    </w:p>
    <w:p w14:paraId="2610E8FA" w14:textId="6746D1D6" w:rsidR="00ED07C5" w:rsidRDefault="004F3A61">
      <w:pPr>
        <w:rPr>
          <w:b/>
          <w:bCs/>
          <w:sz w:val="28"/>
          <w:szCs w:val="28"/>
        </w:rPr>
      </w:pPr>
      <w:r w:rsidRPr="004F3A61">
        <w:rPr>
          <w:b/>
          <w:bCs/>
          <w:sz w:val="28"/>
          <w:szCs w:val="28"/>
        </w:rPr>
        <w:t>Stephan Krüger</w:t>
      </w:r>
      <w:r>
        <w:rPr>
          <w:b/>
          <w:bCs/>
          <w:sz w:val="28"/>
          <w:szCs w:val="28"/>
        </w:rPr>
        <w:t xml:space="preserve"> weist darauf hin, </w:t>
      </w:r>
      <w:r w:rsidR="001C559A">
        <w:rPr>
          <w:b/>
          <w:bCs/>
          <w:sz w:val="28"/>
          <w:szCs w:val="28"/>
        </w:rPr>
        <w:t>dass die Erscheinungsformen der strukturellen Überakkumulation vielfältig s</w:t>
      </w:r>
      <w:r w:rsidR="00F260ED">
        <w:rPr>
          <w:b/>
          <w:bCs/>
          <w:sz w:val="28"/>
          <w:szCs w:val="28"/>
        </w:rPr>
        <w:t>eien</w:t>
      </w:r>
      <w:r w:rsidR="001C559A">
        <w:rPr>
          <w:b/>
          <w:bCs/>
          <w:sz w:val="28"/>
          <w:szCs w:val="28"/>
        </w:rPr>
        <w:t xml:space="preserve">. Die Differenz zwischen erwarteter Rendite auf industrielle Investitionen und den Zinssätzen werde kleiner. Die Konsequenz sei eine Umlenkung von Kapitalen auf die Finanzmärkte und den Kauf von Wertpapieren (fiktives Kapital) mit der Aussicht auf Spekulationsgewinne und Kurssteigerungen. Ein wachsendes Angebot an Leihkapital führe zu sinkenden Zinsen und auf diese Weise zu Kurssteigerungen von Wertpapieren. Es komme zu einer Verselbständigung des Kredits gegenüber der produktiven Wertschöpfung, also zu dem, was wir Finanzkapitalismus </w:t>
      </w:r>
      <w:r w:rsidR="005E717E">
        <w:rPr>
          <w:b/>
          <w:bCs/>
          <w:sz w:val="28"/>
          <w:szCs w:val="28"/>
        </w:rPr>
        <w:t xml:space="preserve">nennen. In großen Bereichen der Gesellschaft werden die Betätigungen von Finanzkonzernen dominierend. Nicht mehr reale Investitionen seien </w:t>
      </w:r>
      <w:r w:rsidR="00F260ED">
        <w:rPr>
          <w:b/>
          <w:bCs/>
          <w:sz w:val="28"/>
          <w:szCs w:val="28"/>
        </w:rPr>
        <w:t>Trumpf,</w:t>
      </w:r>
      <w:r w:rsidR="005E717E">
        <w:rPr>
          <w:b/>
          <w:bCs/>
          <w:sz w:val="28"/>
          <w:szCs w:val="28"/>
        </w:rPr>
        <w:t xml:space="preserve"> sondern die Interessen von Finanzanlegern (Shareholder-Value-Konzept), Dadurch werde aber in keiner Weise das Grundproblem der strukturellen Überakkumulation gelöst, das ja darin bestehe, dass der Umfang der akkumulierten Produktionsmittel und des fiktiven Kapitals (Wertpapiere) keine ausreichende Verwertung des Kapitals mehr </w:t>
      </w:r>
      <w:r w:rsidR="00F260ED">
        <w:rPr>
          <w:b/>
          <w:bCs/>
          <w:sz w:val="28"/>
          <w:szCs w:val="28"/>
        </w:rPr>
        <w:t>zuließ</w:t>
      </w:r>
      <w:r w:rsidR="005E717E">
        <w:rPr>
          <w:b/>
          <w:bCs/>
          <w:sz w:val="28"/>
          <w:szCs w:val="28"/>
        </w:rPr>
        <w:t xml:space="preserve">. Dafür sorgten auch die gesellschaftlichen Verteilungsverhältnisse, die zu Gunsten der Profite und zu Lasten der Masseneinkommen </w:t>
      </w:r>
      <w:r w:rsidR="00855561">
        <w:rPr>
          <w:b/>
          <w:bCs/>
          <w:sz w:val="28"/>
          <w:szCs w:val="28"/>
        </w:rPr>
        <w:t xml:space="preserve">verändert worden seien. Das sei aber nicht nur ein Verteilungsproblem, sondern beruhe auf dem Zuviel an Kapital, das keine steigende Verwertung erfahre. </w:t>
      </w:r>
    </w:p>
    <w:p w14:paraId="680F5BF7" w14:textId="001C80F2" w:rsidR="00855561" w:rsidRDefault="00855561">
      <w:pPr>
        <w:rPr>
          <w:b/>
          <w:bCs/>
          <w:sz w:val="28"/>
          <w:szCs w:val="28"/>
          <w:u w:val="single"/>
        </w:rPr>
      </w:pPr>
      <w:r>
        <w:rPr>
          <w:b/>
          <w:bCs/>
          <w:sz w:val="28"/>
          <w:szCs w:val="28"/>
          <w:u w:val="single"/>
        </w:rPr>
        <w:t>Punkt</w:t>
      </w:r>
      <w:r w:rsidRPr="00855561">
        <w:rPr>
          <w:b/>
          <w:bCs/>
          <w:sz w:val="28"/>
          <w:szCs w:val="28"/>
          <w:u w:val="single"/>
        </w:rPr>
        <w:t xml:space="preserve"> 7:</w:t>
      </w:r>
    </w:p>
    <w:p w14:paraId="608B693A" w14:textId="2FF2A834" w:rsidR="00855561" w:rsidRDefault="00855561">
      <w:pPr>
        <w:rPr>
          <w:b/>
          <w:bCs/>
          <w:sz w:val="28"/>
          <w:szCs w:val="28"/>
        </w:rPr>
      </w:pPr>
      <w:r w:rsidRPr="00855561">
        <w:rPr>
          <w:b/>
          <w:bCs/>
          <w:sz w:val="28"/>
          <w:szCs w:val="28"/>
        </w:rPr>
        <w:t>Krüger sieht aus Sicht der Kapitalisten nur einen</w:t>
      </w:r>
      <w:r>
        <w:rPr>
          <w:b/>
          <w:bCs/>
          <w:sz w:val="28"/>
          <w:szCs w:val="28"/>
        </w:rPr>
        <w:t xml:space="preserve"> Ausweg zur Steigerung der Profitrate, eine massive Entwertung des akkumulierten Produktionsmittel-bzw. Wertpapierbestandes. Das wäre jedoch mit so großen gesellschaftlichen Erschütterungen verbunden, d</w:t>
      </w:r>
      <w:r w:rsidR="00F260ED">
        <w:rPr>
          <w:b/>
          <w:bCs/>
          <w:sz w:val="28"/>
          <w:szCs w:val="28"/>
        </w:rPr>
        <w:t>ass sie</w:t>
      </w:r>
      <w:r>
        <w:rPr>
          <w:b/>
          <w:bCs/>
          <w:sz w:val="28"/>
          <w:szCs w:val="28"/>
        </w:rPr>
        <w:t xml:space="preserve"> zu einem sozialen und politischen Zusammenbruch führten. Das widerspreche zudem dem kapitalistischen Prinzip der Unantastbarkeit des Privateigentums an Produktionsmitteln. Nicht weniger problematisch </w:t>
      </w:r>
      <w:r w:rsidR="001803DF">
        <w:rPr>
          <w:b/>
          <w:bCs/>
          <w:sz w:val="28"/>
          <w:szCs w:val="28"/>
        </w:rPr>
        <w:t xml:space="preserve">sei der gewählte Weg der Verschuldung von privaten Haushalten, öffentlichen Haushalten und Unternehmen. Dieser Weg habe bereits sein Waterloo mit der internationalen Immobilienkrise, der Finanzmarktkrise von 2007 und der folgenden Krise der kapitalistischen Produktionsweise erlebt. Ihren Höhepunkt erlebe die Krise augenblicklich </w:t>
      </w:r>
      <w:r w:rsidR="003D2256">
        <w:rPr>
          <w:b/>
          <w:bCs/>
          <w:sz w:val="28"/>
          <w:szCs w:val="28"/>
        </w:rPr>
        <w:t xml:space="preserve">durch den Übergang der Zentralbankpolitik auf eine kaum verdeckte Geldschöpfungspolitik (Quantitative </w:t>
      </w:r>
      <w:proofErr w:type="spellStart"/>
      <w:r w:rsidR="003D2256">
        <w:rPr>
          <w:b/>
          <w:bCs/>
          <w:sz w:val="28"/>
          <w:szCs w:val="28"/>
        </w:rPr>
        <w:t>Easing</w:t>
      </w:r>
      <w:proofErr w:type="spellEnd"/>
      <w:r w:rsidR="003D2256">
        <w:rPr>
          <w:b/>
          <w:bCs/>
          <w:sz w:val="28"/>
          <w:szCs w:val="28"/>
        </w:rPr>
        <w:t>). Dieses Spiel habe bisher funktioniert, es gebe aber keine Gewähr</w:t>
      </w:r>
      <w:r w:rsidR="00CD3BA2">
        <w:rPr>
          <w:b/>
          <w:bCs/>
          <w:sz w:val="28"/>
          <w:szCs w:val="28"/>
        </w:rPr>
        <w:t xml:space="preserve"> dafür, dass das auf Dauer funktioniere. Eine mögliche Konsequenz wäre, dass der schon von Marx gesehene Umschlag vom Kreditsystem ins </w:t>
      </w:r>
      <w:proofErr w:type="spellStart"/>
      <w:r w:rsidR="00CD3BA2">
        <w:rPr>
          <w:b/>
          <w:bCs/>
          <w:sz w:val="28"/>
          <w:szCs w:val="28"/>
        </w:rPr>
        <w:t>Monetarsystem</w:t>
      </w:r>
      <w:proofErr w:type="spellEnd"/>
      <w:r w:rsidR="00CD3BA2">
        <w:rPr>
          <w:b/>
          <w:bCs/>
          <w:sz w:val="28"/>
          <w:szCs w:val="28"/>
        </w:rPr>
        <w:t xml:space="preserve"> stattfinde. Das komme einem Zusammenbruch des Finanzsystems gleich. Das müsse allerdings auch aus linker Sicht vermieden werden, indem tragfähige Vorschläge zur Veränderung dieser Wirtschaftsordnung gemacht und schrittweise die kapitalistische Produktionsweise überwunden werde. Das setze jedoch eine schrittweise Veränderung des gesellschaftlichen Bewusstseins und der politischen Kräfteverhältnisse voraus. </w:t>
      </w:r>
    </w:p>
    <w:p w14:paraId="2A09F543" w14:textId="4C48F79A" w:rsidR="00F510DA" w:rsidRPr="00F510DA" w:rsidRDefault="00F510DA" w:rsidP="00F510DA">
      <w:pPr>
        <w:rPr>
          <w:b/>
          <w:bCs/>
          <w:sz w:val="28"/>
          <w:szCs w:val="28"/>
        </w:rPr>
      </w:pPr>
      <w:r>
        <w:rPr>
          <w:b/>
          <w:bCs/>
          <w:sz w:val="28"/>
          <w:szCs w:val="28"/>
        </w:rPr>
        <w:t>(1)Der gesamte Aufsatz von Stephan Krüger befindet sich in der Publikation der Rosa Luxemburg Stiftung Sachsen: Marx „Kapital“ im 21.Jahrhundert, Januar 2018, S.113-144.</w:t>
      </w:r>
    </w:p>
    <w:p w14:paraId="3CE97A63" w14:textId="77777777" w:rsidR="00C07A1D" w:rsidRPr="00855561" w:rsidRDefault="00C07A1D">
      <w:pPr>
        <w:rPr>
          <w:b/>
          <w:bCs/>
          <w:sz w:val="28"/>
          <w:szCs w:val="28"/>
        </w:rPr>
      </w:pPr>
    </w:p>
    <w:sectPr w:rsidR="00C07A1D" w:rsidRPr="008555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B27E1"/>
    <w:multiLevelType w:val="hybridMultilevel"/>
    <w:tmpl w:val="0226CE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447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proofState w:spelling="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99"/>
    <w:rsid w:val="00035EEC"/>
    <w:rsid w:val="00071DC4"/>
    <w:rsid w:val="000A4943"/>
    <w:rsid w:val="000D6CA5"/>
    <w:rsid w:val="00101999"/>
    <w:rsid w:val="00107099"/>
    <w:rsid w:val="001803DF"/>
    <w:rsid w:val="001C559A"/>
    <w:rsid w:val="001E3FEE"/>
    <w:rsid w:val="00240593"/>
    <w:rsid w:val="00280BBC"/>
    <w:rsid w:val="003D2256"/>
    <w:rsid w:val="00430A19"/>
    <w:rsid w:val="004861A8"/>
    <w:rsid w:val="004A4CDF"/>
    <w:rsid w:val="004B1D11"/>
    <w:rsid w:val="004F3A61"/>
    <w:rsid w:val="005B1538"/>
    <w:rsid w:val="005C367D"/>
    <w:rsid w:val="005E717E"/>
    <w:rsid w:val="006310CF"/>
    <w:rsid w:val="006463C1"/>
    <w:rsid w:val="00677920"/>
    <w:rsid w:val="0080503F"/>
    <w:rsid w:val="00823517"/>
    <w:rsid w:val="00855561"/>
    <w:rsid w:val="008A0CD5"/>
    <w:rsid w:val="008F4882"/>
    <w:rsid w:val="009A67D0"/>
    <w:rsid w:val="00AA0613"/>
    <w:rsid w:val="00AA2C6C"/>
    <w:rsid w:val="00AC4808"/>
    <w:rsid w:val="00B14C9A"/>
    <w:rsid w:val="00C07A1D"/>
    <w:rsid w:val="00C3368E"/>
    <w:rsid w:val="00C949FB"/>
    <w:rsid w:val="00CB3975"/>
    <w:rsid w:val="00CC6FDD"/>
    <w:rsid w:val="00CD3BA2"/>
    <w:rsid w:val="00CE4EA4"/>
    <w:rsid w:val="00D21D87"/>
    <w:rsid w:val="00D519DD"/>
    <w:rsid w:val="00DA01D8"/>
    <w:rsid w:val="00DF58A6"/>
    <w:rsid w:val="00E030BD"/>
    <w:rsid w:val="00E67C11"/>
    <w:rsid w:val="00E97014"/>
    <w:rsid w:val="00EB3C9E"/>
    <w:rsid w:val="00EC39A1"/>
    <w:rsid w:val="00ED07C5"/>
    <w:rsid w:val="00F260ED"/>
    <w:rsid w:val="00F47378"/>
    <w:rsid w:val="00F510DA"/>
    <w:rsid w:val="00F82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EFC"/>
  <w15:chartTrackingRefBased/>
  <w15:docId w15:val="{AA01A92A-C96A-4066-97EB-8D5CD434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9113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p.behnen@t-online.de</cp:lastModifiedBy>
  <cp:revision>2</cp:revision>
  <dcterms:created xsi:type="dcterms:W3CDTF">2025-03-20T09:39:00Z</dcterms:created>
  <dcterms:modified xsi:type="dcterms:W3CDTF">2025-03-20T09:39:00Z</dcterms:modified>
</cp:coreProperties>
</file>